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Spec="top"/>
        <w:tblOverlap w:val="never"/>
        <w:tblW w:w="0" w:type="auto"/>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643"/>
      </w:tblGrid>
      <w:tr w:rsidR="00D52258" w:rsidTr="00361504">
        <w:trPr>
          <w:cantSplit/>
          <w:trHeight w:val="1119"/>
        </w:trPr>
        <w:tc>
          <w:tcPr>
            <w:tcW w:w="1544" w:type="dxa"/>
            <w:tcBorders>
              <w:top w:val="nil"/>
              <w:left w:val="nil"/>
              <w:bottom w:val="thinThickThinSmallGap" w:sz="24" w:space="0" w:color="auto"/>
              <w:right w:val="nil"/>
            </w:tcBorders>
            <w:shd w:val="clear" w:color="auto" w:fill="auto"/>
          </w:tcPr>
          <w:p w:rsidR="00D52258" w:rsidRDefault="00C07667">
            <w:pPr>
              <w:snapToGrid w:val="0"/>
              <w:jc w:val="center"/>
              <w:rPr>
                <w:rFonts w:ascii="楷体_GB2312" w:eastAsia="楷体_GB2312"/>
                <w:b/>
                <w:sz w:val="144"/>
                <w:szCs w:val="144"/>
              </w:rPr>
            </w:pPr>
            <w:r>
              <w:rPr>
                <w:rFonts w:ascii="楷体_GB2312" w:eastAsia="楷体_GB2312" w:hint="eastAsia"/>
                <w:b/>
                <w:sz w:val="144"/>
                <w:szCs w:val="144"/>
              </w:rPr>
              <w:t>督导简报</w:t>
            </w:r>
          </w:p>
        </w:tc>
        <w:tc>
          <w:tcPr>
            <w:tcW w:w="643" w:type="dxa"/>
            <w:tcBorders>
              <w:top w:val="nil"/>
              <w:left w:val="nil"/>
              <w:bottom w:val="thinThickThinSmallGap" w:sz="24" w:space="0" w:color="auto"/>
              <w:right w:val="thinThickSmallGap" w:sz="24" w:space="0" w:color="auto"/>
            </w:tcBorders>
            <w:shd w:val="clear" w:color="auto" w:fill="000000"/>
            <w:textDirection w:val="tbRlV"/>
            <w:vAlign w:val="center"/>
          </w:tcPr>
          <w:p w:rsidR="00D52258" w:rsidRDefault="00C07667">
            <w:pPr>
              <w:ind w:left="113" w:right="233"/>
              <w:jc w:val="right"/>
              <w:rPr>
                <w:sz w:val="24"/>
              </w:rPr>
            </w:pPr>
            <w:r>
              <w:rPr>
                <w:rFonts w:ascii="黑体" w:eastAsia="黑体" w:hint="eastAsia"/>
                <w:sz w:val="24"/>
              </w:rPr>
              <w:t xml:space="preserve">建东职业技术学院质量监控部  </w:t>
            </w:r>
            <w:r>
              <w:rPr>
                <w:rFonts w:ascii="黑体" w:eastAsia="黑体" w:hint="eastAsia"/>
                <w:b/>
                <w:color w:val="FFFFFF"/>
                <w:sz w:val="24"/>
              </w:rPr>
              <w:t>第四十五期 （</w:t>
            </w:r>
            <w:r>
              <w:rPr>
                <w:rFonts w:ascii="黑体" w:eastAsia="黑体" w:hint="eastAsia"/>
                <w:sz w:val="24"/>
              </w:rPr>
              <w:t>202</w:t>
            </w:r>
            <w:r>
              <w:rPr>
                <w:rFonts w:ascii="黑体" w:eastAsia="黑体"/>
                <w:sz w:val="24"/>
              </w:rPr>
              <w:t>3</w:t>
            </w:r>
            <w:r>
              <w:rPr>
                <w:rFonts w:ascii="黑体" w:eastAsia="黑体" w:hint="eastAsia"/>
                <w:sz w:val="24"/>
              </w:rPr>
              <w:t>.</w:t>
            </w:r>
            <w:r>
              <w:rPr>
                <w:rFonts w:ascii="黑体" w:eastAsia="黑体"/>
                <w:sz w:val="24"/>
              </w:rPr>
              <w:t>5</w:t>
            </w:r>
            <w:r>
              <w:rPr>
                <w:rFonts w:ascii="黑体" w:eastAsia="黑体" w:hint="eastAsia"/>
                <w:sz w:val="24"/>
              </w:rPr>
              <w:t>.2</w:t>
            </w:r>
            <w:r>
              <w:rPr>
                <w:rFonts w:ascii="黑体" w:eastAsia="黑体"/>
                <w:sz w:val="24"/>
              </w:rPr>
              <w:t>2</w:t>
            </w:r>
            <w:r>
              <w:rPr>
                <w:rFonts w:hint="eastAsia"/>
                <w:b/>
                <w:color w:val="FFFFFF"/>
                <w:sz w:val="24"/>
              </w:rPr>
              <w:t>）</w:t>
            </w:r>
          </w:p>
        </w:tc>
      </w:tr>
    </w:tbl>
    <w:p w:rsidR="00D52258" w:rsidRDefault="00C07667">
      <w:pPr>
        <w:spacing w:beforeLines="50" w:before="156" w:afterLines="50" w:after="156" w:line="400" w:lineRule="exact"/>
        <w:ind w:rightChars="-330" w:right="-693" w:firstLineChars="49" w:firstLine="157"/>
        <w:rPr>
          <w:rFonts w:ascii="黑体" w:eastAsia="黑体"/>
          <w:b/>
          <w:sz w:val="32"/>
          <w:szCs w:val="32"/>
        </w:rPr>
      </w:pPr>
      <w:r>
        <w:rPr>
          <w:rFonts w:ascii="黑体" w:eastAsia="黑体" w:hint="eastAsia"/>
          <w:b/>
          <w:sz w:val="32"/>
          <w:szCs w:val="32"/>
        </w:rPr>
        <w:t>22-23学年第二学期期中教学督导检查总结</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为了全面了解本学期开学以来的教学工作状况，解决教学过程中存在的问题，加强教风和学风建设，提高教学质量和水平，根据本学期教学工作安排，教务处、质控部于4月17日至5月6日组织开展了全校期中教学检查活动，为实现既要全面覆盖，又要抓住重点，检查分为各二级学院教研室自查和校级检查两个阶段，从教学常规资料、期中测试、技能证书获取、督导集中检查、校级示范课等多个领域开展工作，具体情况如下：</w:t>
      </w:r>
    </w:p>
    <w:p w:rsidR="0055176F" w:rsidRPr="00F33B42" w:rsidRDefault="0055176F" w:rsidP="0055176F">
      <w:pPr>
        <w:spacing w:line="400" w:lineRule="exact"/>
        <w:ind w:firstLineChars="250" w:firstLine="602"/>
        <w:rPr>
          <w:rFonts w:ascii="宋体" w:hAnsi="宋体"/>
          <w:b/>
          <w:sz w:val="24"/>
        </w:rPr>
      </w:pPr>
      <w:r w:rsidRPr="00F33B42">
        <w:rPr>
          <w:rFonts w:ascii="宋体" w:hAnsi="宋体" w:hint="eastAsia"/>
          <w:b/>
          <w:sz w:val="24"/>
        </w:rPr>
        <w:t>一、教学常规资料基本齐全规范</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教师教学资料齐全，教育教学活动按照教学计划及教学进度执行，实际授课进度基本与计划安排相符。教师都能认真备课，上课时能够加强管理课堂纪律，能认真批改作业，作业适量，成绩及时记录在案。教师上课期间遵守劳动纪律，准时上下课，无教学事故发生，保证了良好的教学秩序。所授课程的课程标准、进度表、教案齐全，课程实际进度与计划能够保持一致，教师均满足提前2周备课量要求。</w:t>
      </w:r>
    </w:p>
    <w:p w:rsidR="0055176F" w:rsidRPr="00F33B42" w:rsidRDefault="0055176F" w:rsidP="0055176F">
      <w:pPr>
        <w:spacing w:line="400" w:lineRule="exact"/>
        <w:ind w:firstLineChars="250" w:firstLine="602"/>
        <w:rPr>
          <w:rFonts w:ascii="宋体" w:hAnsi="宋体"/>
          <w:b/>
          <w:sz w:val="24"/>
        </w:rPr>
      </w:pPr>
      <w:r w:rsidRPr="00F33B42">
        <w:rPr>
          <w:rFonts w:ascii="宋体" w:hAnsi="宋体" w:hint="eastAsia"/>
          <w:b/>
          <w:sz w:val="24"/>
        </w:rPr>
        <w:t>二、2022级期中测试顺利进行</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2022级各专业确定1~2门重要课程以随堂考形式进行期中测试。其中智能制造与计算机学院22级各专业确定了1-2门专业课程在第11周以随堂考的形式进行期中测试，测试安排在第11周进行。航空服务学院22级高铁、空乘专业都确定了2门课程以随堂考形式进行期中测试，考核结果较好。艺术建筑学院安排了《建筑CAD》等几门课程进行了随堂考试的形式进行了期中考试；经贸管理学院22级会计专业确定《财会基础A》，非会计专业确定《财会基础B》课程以随堂考形式进行期中测试。</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20级本科班的专科毕业论文基本结束，本科班毕</w:t>
      </w:r>
      <w:bookmarkStart w:id="0" w:name="_GoBack"/>
      <w:bookmarkEnd w:id="0"/>
      <w:r w:rsidRPr="0055176F">
        <w:rPr>
          <w:rFonts w:ascii="宋体" w:hAnsi="宋体" w:hint="eastAsia"/>
          <w:sz w:val="24"/>
        </w:rPr>
        <w:t>业论文答辩有序进行。</w:t>
      </w:r>
    </w:p>
    <w:p w:rsidR="0055176F" w:rsidRPr="00F33B42" w:rsidRDefault="0055176F" w:rsidP="0055176F">
      <w:pPr>
        <w:spacing w:line="400" w:lineRule="exact"/>
        <w:ind w:firstLineChars="250" w:firstLine="602"/>
        <w:rPr>
          <w:rFonts w:ascii="宋体" w:hAnsi="宋体"/>
          <w:b/>
          <w:sz w:val="24"/>
        </w:rPr>
      </w:pPr>
      <w:r w:rsidRPr="00F33B42">
        <w:rPr>
          <w:rFonts w:ascii="宋体" w:hAnsi="宋体" w:hint="eastAsia"/>
          <w:b/>
          <w:sz w:val="24"/>
        </w:rPr>
        <w:t>三、2021级各专业学生技能证书获取情况</w:t>
      </w:r>
    </w:p>
    <w:p w:rsidR="0055176F" w:rsidRPr="0055176F" w:rsidRDefault="0055176F" w:rsidP="00F33B42">
      <w:pPr>
        <w:spacing w:line="400" w:lineRule="exact"/>
        <w:ind w:firstLineChars="250" w:firstLine="600"/>
        <w:rPr>
          <w:rFonts w:ascii="宋体" w:hAnsi="宋体"/>
          <w:sz w:val="24"/>
        </w:rPr>
      </w:pPr>
      <w:r w:rsidRPr="0055176F">
        <w:rPr>
          <w:rFonts w:ascii="宋体" w:hAnsi="宋体" w:hint="eastAsia"/>
          <w:sz w:val="24"/>
        </w:rPr>
        <w:t>21空乘、高铁、民航等班级相关技能证书获取率100%。21计算机应用74名同学取得“网络与信息安全管理员”证书，取证率92.5%；21机电、21汽车、21机械、21双元制90名同学取得“钳工高级工”证书，取证率86.5%；另21双元制“低压电工证”正在考证中、21无人机“CAAC多旋翼视距内驾驶员”5月份考证、21城轨“电工证”6月份考证。经贸管理学院初步决定对21级未取得职业资格的学生在5-6月份进行电子商务师培训并组织考证。艺术与建筑学院在本学期组织21级建筑类各专业培训考试了测量员证书，艺术类专业本学期正在组织21级建筑室内设计专业培训考试室内设计师证书，两个证书均是本学期组织的，目前还未有具体证书通过率情况。</w:t>
      </w:r>
    </w:p>
    <w:p w:rsidR="0055176F" w:rsidRPr="00F33B42" w:rsidRDefault="0055176F" w:rsidP="0055176F">
      <w:pPr>
        <w:spacing w:line="400" w:lineRule="exact"/>
        <w:ind w:firstLineChars="250" w:firstLine="602"/>
        <w:rPr>
          <w:rFonts w:ascii="宋体" w:hAnsi="宋体"/>
          <w:b/>
          <w:sz w:val="24"/>
        </w:rPr>
      </w:pPr>
      <w:r w:rsidRPr="00F33B42">
        <w:rPr>
          <w:rFonts w:ascii="宋体" w:hAnsi="宋体" w:hint="eastAsia"/>
          <w:b/>
          <w:sz w:val="24"/>
        </w:rPr>
        <w:t>四、2020级毕业生岗位实习开展情况</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20级毕业生岗位实习开展情况较好，经贸管理学院、航空服务学院等已制定顶</w:t>
      </w:r>
      <w:r w:rsidRPr="0055176F">
        <w:rPr>
          <w:rFonts w:ascii="宋体" w:hAnsi="宋体" w:hint="eastAsia"/>
          <w:sz w:val="24"/>
        </w:rPr>
        <w:lastRenderedPageBreak/>
        <w:t>岗实习方案。20辅导员和班主任都有实习生联系台账。经贸管理学院每个班级只有个别学生在家待学校推荐就业。智能学院目前初步统计22人尚未落实实习单位。</w:t>
      </w:r>
    </w:p>
    <w:p w:rsidR="0055176F" w:rsidRPr="00F33B42" w:rsidRDefault="0055176F" w:rsidP="0055176F">
      <w:pPr>
        <w:spacing w:line="400" w:lineRule="exact"/>
        <w:ind w:firstLineChars="250" w:firstLine="602"/>
        <w:rPr>
          <w:rFonts w:ascii="宋体" w:hAnsi="宋体"/>
          <w:b/>
          <w:sz w:val="24"/>
        </w:rPr>
      </w:pPr>
      <w:r w:rsidRPr="00F33B42">
        <w:rPr>
          <w:rFonts w:ascii="宋体" w:hAnsi="宋体" w:hint="eastAsia"/>
          <w:b/>
          <w:sz w:val="24"/>
        </w:rPr>
        <w:t>五、学生座谈会听取学生对教学情况的意见</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本学期第十一周，学院质控联合教务处开展了期中教学质量检查。4月26日中午，质控安排了13位督导，共计召开了12场学生座谈会，涵盖了20级本科班、21级、22级、23春季班学生代表。本次学生座谈会共计78班级参与，参与人次可达三百多人。</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总体来讲，学生学校教育教学给予肯定，对直接教育他们的任课老师和辅导员比较有感情，说明我校的教育教学质量处于相对稳定的水平，教师职业素质高，对教育敬业奉献，对学生育人育心，应该建立机制保障保持教师积极性。</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学生意见比较大的问题集中在专业教学、硬件设施、食宿服务管理和校外住宿等方面。</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（一）专业教学方面</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1、</w:t>
      </w:r>
      <w:r w:rsidRPr="0055176F">
        <w:rPr>
          <w:rFonts w:ascii="宋体" w:hAnsi="宋体" w:hint="eastAsia"/>
          <w:sz w:val="24"/>
        </w:rPr>
        <w:tab/>
        <w:t>部分专业学生提出实践安排较少，希望增加课程实践、实训等安排；</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2、</w:t>
      </w:r>
      <w:r w:rsidRPr="0055176F">
        <w:rPr>
          <w:rFonts w:ascii="宋体" w:hAnsi="宋体" w:hint="eastAsia"/>
          <w:sz w:val="24"/>
        </w:rPr>
        <w:tab/>
        <w:t>专业课教师较少、排课紧张，希望填充一下教师团队。</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（二）硬件设施方面</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1、</w:t>
      </w:r>
      <w:r w:rsidRPr="0055176F">
        <w:rPr>
          <w:rFonts w:ascii="宋体" w:hAnsi="宋体" w:hint="eastAsia"/>
          <w:sz w:val="24"/>
        </w:rPr>
        <w:tab/>
        <w:t>实验室器材老旧、机房电脑配置跟不上问题较多，希望学校更新一下教学器材；</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2、</w:t>
      </w:r>
      <w:r w:rsidRPr="0055176F">
        <w:rPr>
          <w:rFonts w:ascii="宋体" w:hAnsi="宋体" w:hint="eastAsia"/>
          <w:sz w:val="24"/>
        </w:rPr>
        <w:tab/>
        <w:t>增加体育馆、游泳馆、健身房、图书馆等娱乐、休闲设施的开发时间，丰富学生在校娱乐休闲活动。</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（三）食宿服务管理方面</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1、</w:t>
      </w:r>
      <w:r w:rsidRPr="0055176F">
        <w:rPr>
          <w:rFonts w:ascii="宋体" w:hAnsi="宋体" w:hint="eastAsia"/>
          <w:sz w:val="24"/>
        </w:rPr>
        <w:tab/>
        <w:t>希望增加饮水机、洗衣机等公用电气设备，提高学生住宿质量；</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2、</w:t>
      </w:r>
      <w:r w:rsidRPr="0055176F">
        <w:rPr>
          <w:rFonts w:ascii="宋体" w:hAnsi="宋体" w:hint="eastAsia"/>
          <w:sz w:val="24"/>
        </w:rPr>
        <w:tab/>
        <w:t>食堂价格偏高，希望学校对食堂价格进行管控。</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（四）校外住宿方面</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1、</w:t>
      </w:r>
      <w:r w:rsidRPr="0055176F">
        <w:rPr>
          <w:rFonts w:ascii="宋体" w:hAnsi="宋体" w:hint="eastAsia"/>
          <w:sz w:val="24"/>
        </w:rPr>
        <w:tab/>
        <w:t>增强住宿学生管理，降低夜半噪音等扰民情况；</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2、</w:t>
      </w:r>
      <w:r w:rsidRPr="0055176F">
        <w:rPr>
          <w:rFonts w:ascii="宋体" w:hAnsi="宋体" w:hint="eastAsia"/>
          <w:sz w:val="24"/>
        </w:rPr>
        <w:tab/>
        <w:t>增加或提前校车班次，让校外学生能提前到达学校用餐及上课。</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建议学校根据校情统筹考虑学生意见，硬件方面在力所能及的范围内加以改进；管理服务方面，让有关部门本着以生为本的理念改善质量；学生组织、学生实践活动是需要大力改进和可以改进的方面，随着学生数量增加，加强学生自治组织建设、发挥学生自主活动能力，有利于学生综合素质培养，也丰富校园生活和大学氛围。师资队伍和课程建设方面，学生已感受到教师的缺乏和专业课开设的不足，建议学校大力引进师资，加强学科内涵建设。</w:t>
      </w:r>
    </w:p>
    <w:p w:rsidR="0055176F" w:rsidRPr="00F33B42" w:rsidRDefault="0055176F" w:rsidP="0055176F">
      <w:pPr>
        <w:spacing w:line="400" w:lineRule="exact"/>
        <w:ind w:firstLineChars="250" w:firstLine="602"/>
        <w:rPr>
          <w:rFonts w:ascii="宋体" w:hAnsi="宋体"/>
          <w:b/>
          <w:sz w:val="24"/>
        </w:rPr>
      </w:pPr>
      <w:r w:rsidRPr="00F33B42">
        <w:rPr>
          <w:rFonts w:ascii="宋体" w:hAnsi="宋体" w:hint="eastAsia"/>
          <w:b/>
          <w:sz w:val="24"/>
        </w:rPr>
        <w:t>六、校外兼职教师教学规范执行情况</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通过本次检查发现，校外兼职教师基本能够较好地执行学校教学规范，通过各二级学院自查及督导集中教学检查，大多数校外教师能够遵守学校教学规范，教学资料齐全，教学进度与教学计划误差在合理范围内。</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同时在检查中也发现一些问题，一是我校教学规范要求与个别外聘教师所在单</w:t>
      </w:r>
      <w:r w:rsidRPr="0055176F">
        <w:rPr>
          <w:rFonts w:ascii="宋体" w:hAnsi="宋体" w:hint="eastAsia"/>
          <w:sz w:val="24"/>
        </w:rPr>
        <w:lastRenderedPageBreak/>
        <w:t>位存在差异，导致教学资料与学院规范格式不一致情况；</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二是个别学院在外聘教师管理上存在一定困难。如艺术与建筑学院由于近两年在校生迅速增加，校内专业课教师短缺情况严重，本学期共聘请10位外聘老师，占全校本学期外聘教师总数量的50%，承担专业课程的科目有18门课之多，在教学质量、日常规范管理上存在较大难度。</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三是外聘教师在教学资料合规性上有待提高。结合二级学院自查和校级外聘教师教学资料合规性集中检查，外聘教师在教案编写课后小结、进度表编排、平时成绩记载等方面存在相应问题，具体表现在部分课程教案过于简单，个别教案对各教学模块没有具体时间分配，课程名字前后不一致，课程标准及进度表缺少教研室主任等签字；个别外聘教师未见提供考勤表、平时成绩表。</w:t>
      </w:r>
    </w:p>
    <w:p w:rsidR="0055176F" w:rsidRPr="00F33B42" w:rsidRDefault="0055176F" w:rsidP="0055176F">
      <w:pPr>
        <w:spacing w:line="400" w:lineRule="exact"/>
        <w:ind w:firstLineChars="250" w:firstLine="602"/>
        <w:rPr>
          <w:rFonts w:ascii="宋体" w:hAnsi="宋体"/>
          <w:b/>
          <w:sz w:val="24"/>
        </w:rPr>
      </w:pPr>
      <w:r w:rsidRPr="00F33B42">
        <w:rPr>
          <w:rFonts w:ascii="宋体" w:hAnsi="宋体" w:hint="eastAsia"/>
          <w:b/>
          <w:sz w:val="24"/>
        </w:rPr>
        <w:t>七、校级公开示范课活动</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全校示范课起到了很好的教学示范作用，教师整体实力雄厚，经验丰富，做了充分的准备；教务处组织得力，形成了全校上下教学比拼、相互学习的良好教研氛围，是一次非常成功有成效的教学活动。各二级学院从选题、教学设计（包括板书设计、PPT设计、导入设计、作业布置）、教学语态、教学节奏等各方面进行了深入细致的指导。新老教师在这次活动的全过程中都得到了水平提升，有了不少教学心得体会。</w:t>
      </w:r>
    </w:p>
    <w:p w:rsidR="0055176F" w:rsidRPr="00F33B42" w:rsidRDefault="0055176F" w:rsidP="0055176F">
      <w:pPr>
        <w:spacing w:line="400" w:lineRule="exact"/>
        <w:ind w:firstLineChars="250" w:firstLine="602"/>
        <w:rPr>
          <w:rFonts w:ascii="宋体" w:hAnsi="宋体"/>
          <w:b/>
          <w:sz w:val="24"/>
        </w:rPr>
      </w:pPr>
      <w:r w:rsidRPr="00F33B42">
        <w:rPr>
          <w:rFonts w:ascii="宋体" w:hAnsi="宋体" w:hint="eastAsia"/>
          <w:b/>
          <w:sz w:val="24"/>
        </w:rPr>
        <w:t>八、实验实训室安全管理专项检查</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我校实验室按照《高等学校实验室安全检查项目表（2023）》，结合学校实验室安全管理工作实际，对智能制造与计算机学院、航空服务学院、艺术与建筑学院、经贸管理学院实验实训室等场所进行检查，检查重点为机电安全、消防安全、安全教育、日常卫生管理等情况。检查中发现主要安全隐患问题如下：</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（一）个别实训室地面地砖出现脱落边缘翘起，师生行走存在一定安全隐患；</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（二）个别实训室摆放有杂物，未及时清理；</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（三）计算机实训室电源插座存在安全隐患；</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（四）部分新建实训室安全信息牌、制度上墙工作正在进行中，尚未完成。</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针对存在问题学院实验室安全管理领导小组办公室及时形成检查简报，并在校长办公会上进行汇报，针对存在的问题认真分析原因，明确整改责任归属，会同各二级学院积极与后保、财务等部门协调，一是完成实训室物品清理与整理，保持整洁卫生的实验实训环境；另一方面，根据存在问题，结合实验室安全专项预算，对各项安全隐的完成损坏报修、更换申购等工作。</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各二级学院及相关部门按照《建东职业技术学院实验室安全检查发现问题整改通知书》进行限期整改，目前已经完成相关整改工作。</w:t>
      </w:r>
    </w:p>
    <w:p w:rsidR="0055176F" w:rsidRPr="00F33B42" w:rsidRDefault="0055176F" w:rsidP="0055176F">
      <w:pPr>
        <w:spacing w:line="400" w:lineRule="exact"/>
        <w:ind w:firstLineChars="250" w:firstLine="602"/>
        <w:rPr>
          <w:rFonts w:ascii="宋体" w:hAnsi="宋体"/>
          <w:b/>
          <w:sz w:val="24"/>
        </w:rPr>
      </w:pPr>
      <w:r w:rsidRPr="00F33B42">
        <w:rPr>
          <w:rFonts w:ascii="宋体" w:hAnsi="宋体" w:hint="eastAsia"/>
          <w:b/>
          <w:sz w:val="24"/>
        </w:rPr>
        <w:t>九、下一步工作建议</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（一）进一步加强对教学常规资料分级分类管理，明确教务处在教学常规资料管理的监督责任，尽快健全相关管理办法，实施常态化监督检查；发挥各二级学院在教学资料规范管理中的主体责任；</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（二）恢复教务处日常教学巡查制度，工作重点为各类任课教师教学规范执行、</w:t>
      </w:r>
      <w:r w:rsidRPr="0055176F">
        <w:rPr>
          <w:rFonts w:ascii="宋体" w:hAnsi="宋体" w:hint="eastAsia"/>
          <w:sz w:val="24"/>
        </w:rPr>
        <w:lastRenderedPageBreak/>
        <w:t>学生课堂纪律、教学异常情况处置等；有效发挥教学信息员在日常教学监督中的作用，及时获得课堂教学情况；</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（三）进一步探索完善大一大二学生学习状况阶段性摸底的举措，实现以考促学的效果；</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（四）明确各专业职业技能证书考证要求；</w:t>
      </w:r>
    </w:p>
    <w:p w:rsidR="0055176F" w:rsidRPr="0055176F" w:rsidRDefault="0055176F" w:rsidP="0055176F">
      <w:pPr>
        <w:spacing w:line="400" w:lineRule="exact"/>
        <w:ind w:firstLineChars="250" w:firstLine="600"/>
        <w:rPr>
          <w:rFonts w:ascii="宋体" w:hAnsi="宋体"/>
          <w:sz w:val="24"/>
        </w:rPr>
      </w:pPr>
      <w:r w:rsidRPr="0055176F">
        <w:rPr>
          <w:rFonts w:ascii="宋体" w:hAnsi="宋体" w:hint="eastAsia"/>
          <w:sz w:val="24"/>
        </w:rPr>
        <w:t>（五）进一步加强和规范外聘教师教学规范管理和服务，同时通过加快招聘紧缺师资和建设网络教学平台减少对外聘教师的过度依赖，并将期中教学检查覆盖至行政兼课教师。</w:t>
      </w:r>
    </w:p>
    <w:p w:rsidR="00D52258" w:rsidRDefault="0055176F" w:rsidP="0055176F">
      <w:pPr>
        <w:spacing w:line="400" w:lineRule="exact"/>
        <w:ind w:firstLineChars="250" w:firstLine="600"/>
        <w:rPr>
          <w:rFonts w:ascii="宋体" w:hAnsi="宋体" w:cs="宋体"/>
          <w:sz w:val="24"/>
        </w:rPr>
      </w:pPr>
      <w:r w:rsidRPr="0055176F">
        <w:rPr>
          <w:rFonts w:ascii="宋体" w:hAnsi="宋体" w:hint="eastAsia"/>
          <w:sz w:val="24"/>
        </w:rPr>
        <w:t>（六）探索完善校级示范课引领带动作用的工作策略。</w:t>
      </w:r>
    </w:p>
    <w:p w:rsidR="00D52258" w:rsidRDefault="00D52258">
      <w:pPr>
        <w:widowControl/>
        <w:adjustRightInd w:val="0"/>
        <w:snapToGrid w:val="0"/>
        <w:spacing w:line="400" w:lineRule="exact"/>
        <w:ind w:rightChars="-159" w:right="-334" w:firstLineChars="200" w:firstLine="480"/>
        <w:jc w:val="left"/>
        <w:rPr>
          <w:rFonts w:ascii="楷体_GB2312" w:eastAsia="楷体_GB2312"/>
          <w:sz w:val="24"/>
        </w:rPr>
      </w:pPr>
    </w:p>
    <w:sectPr w:rsidR="00D52258">
      <w:pgSz w:w="11906" w:h="16838"/>
      <w:pgMar w:top="1089" w:right="1418" w:bottom="624"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NThiZWUyMjg2YzJkNzI1MWU3Yzk4MzBkMjEyNTUifQ=="/>
  </w:docVars>
  <w:rsids>
    <w:rsidRoot w:val="00AE6490"/>
    <w:rsid w:val="000045FD"/>
    <w:rsid w:val="00007C0E"/>
    <w:rsid w:val="000133CB"/>
    <w:rsid w:val="00026C6F"/>
    <w:rsid w:val="000337F9"/>
    <w:rsid w:val="00033A5B"/>
    <w:rsid w:val="00052151"/>
    <w:rsid w:val="000525C0"/>
    <w:rsid w:val="00053BC9"/>
    <w:rsid w:val="00091138"/>
    <w:rsid w:val="00095BDF"/>
    <w:rsid w:val="000A0B08"/>
    <w:rsid w:val="000A6426"/>
    <w:rsid w:val="000C11C0"/>
    <w:rsid w:val="000C2BF5"/>
    <w:rsid w:val="000C56CA"/>
    <w:rsid w:val="000C7C01"/>
    <w:rsid w:val="000E07A1"/>
    <w:rsid w:val="000F23BE"/>
    <w:rsid w:val="000F2ED0"/>
    <w:rsid w:val="001055E9"/>
    <w:rsid w:val="001068BA"/>
    <w:rsid w:val="001071A8"/>
    <w:rsid w:val="0011142E"/>
    <w:rsid w:val="00117400"/>
    <w:rsid w:val="00121110"/>
    <w:rsid w:val="00134DBC"/>
    <w:rsid w:val="00137C06"/>
    <w:rsid w:val="00142369"/>
    <w:rsid w:val="00160617"/>
    <w:rsid w:val="00170CBF"/>
    <w:rsid w:val="00173EE0"/>
    <w:rsid w:val="0019558D"/>
    <w:rsid w:val="001A243F"/>
    <w:rsid w:val="001A76A4"/>
    <w:rsid w:val="001B144C"/>
    <w:rsid w:val="001B316A"/>
    <w:rsid w:val="001B619D"/>
    <w:rsid w:val="001C27BE"/>
    <w:rsid w:val="0020183F"/>
    <w:rsid w:val="00202951"/>
    <w:rsid w:val="00211672"/>
    <w:rsid w:val="00217C4D"/>
    <w:rsid w:val="00233F79"/>
    <w:rsid w:val="002428C7"/>
    <w:rsid w:val="0024717B"/>
    <w:rsid w:val="002612F6"/>
    <w:rsid w:val="00281E67"/>
    <w:rsid w:val="002862A2"/>
    <w:rsid w:val="002D6650"/>
    <w:rsid w:val="002F3783"/>
    <w:rsid w:val="00300F0B"/>
    <w:rsid w:val="0030166F"/>
    <w:rsid w:val="003105BA"/>
    <w:rsid w:val="00311BDE"/>
    <w:rsid w:val="003219C6"/>
    <w:rsid w:val="0034296C"/>
    <w:rsid w:val="0035527A"/>
    <w:rsid w:val="00356623"/>
    <w:rsid w:val="00361504"/>
    <w:rsid w:val="0037148B"/>
    <w:rsid w:val="00371F9F"/>
    <w:rsid w:val="00383479"/>
    <w:rsid w:val="00397628"/>
    <w:rsid w:val="003B2F28"/>
    <w:rsid w:val="003B4807"/>
    <w:rsid w:val="003B5339"/>
    <w:rsid w:val="003C1B23"/>
    <w:rsid w:val="003C35DA"/>
    <w:rsid w:val="003C4807"/>
    <w:rsid w:val="003D43AD"/>
    <w:rsid w:val="003E1624"/>
    <w:rsid w:val="00404C9F"/>
    <w:rsid w:val="004121F5"/>
    <w:rsid w:val="00417CF5"/>
    <w:rsid w:val="00423B3E"/>
    <w:rsid w:val="004310E5"/>
    <w:rsid w:val="004450BB"/>
    <w:rsid w:val="00452BA0"/>
    <w:rsid w:val="004606A8"/>
    <w:rsid w:val="004832FD"/>
    <w:rsid w:val="00496BA2"/>
    <w:rsid w:val="004A1A70"/>
    <w:rsid w:val="004C6955"/>
    <w:rsid w:val="004D2A0D"/>
    <w:rsid w:val="004D35A4"/>
    <w:rsid w:val="004D7F6B"/>
    <w:rsid w:val="004E09DC"/>
    <w:rsid w:val="004F56E4"/>
    <w:rsid w:val="00500ADA"/>
    <w:rsid w:val="0051158D"/>
    <w:rsid w:val="005446BB"/>
    <w:rsid w:val="0054543A"/>
    <w:rsid w:val="0055176F"/>
    <w:rsid w:val="005672DD"/>
    <w:rsid w:val="00580D4F"/>
    <w:rsid w:val="005B67FD"/>
    <w:rsid w:val="005B7F03"/>
    <w:rsid w:val="005C3D10"/>
    <w:rsid w:val="005F1100"/>
    <w:rsid w:val="006255DD"/>
    <w:rsid w:val="00644A9A"/>
    <w:rsid w:val="00651D20"/>
    <w:rsid w:val="006524A5"/>
    <w:rsid w:val="00656991"/>
    <w:rsid w:val="0066148C"/>
    <w:rsid w:val="00665570"/>
    <w:rsid w:val="0066696C"/>
    <w:rsid w:val="0068219B"/>
    <w:rsid w:val="006907B2"/>
    <w:rsid w:val="00696B29"/>
    <w:rsid w:val="006B2C9F"/>
    <w:rsid w:val="006C3F80"/>
    <w:rsid w:val="006C46CA"/>
    <w:rsid w:val="006C62C4"/>
    <w:rsid w:val="006D0BCA"/>
    <w:rsid w:val="006D6F85"/>
    <w:rsid w:val="006E7259"/>
    <w:rsid w:val="006F452C"/>
    <w:rsid w:val="006F60AC"/>
    <w:rsid w:val="00721B4D"/>
    <w:rsid w:val="00722C49"/>
    <w:rsid w:val="00770DA9"/>
    <w:rsid w:val="00781E80"/>
    <w:rsid w:val="007A3306"/>
    <w:rsid w:val="007C7B34"/>
    <w:rsid w:val="007D015E"/>
    <w:rsid w:val="007D322A"/>
    <w:rsid w:val="007D4E57"/>
    <w:rsid w:val="007D5F12"/>
    <w:rsid w:val="007E1955"/>
    <w:rsid w:val="007F6668"/>
    <w:rsid w:val="008045B1"/>
    <w:rsid w:val="00806E25"/>
    <w:rsid w:val="00814696"/>
    <w:rsid w:val="00815D74"/>
    <w:rsid w:val="0081663C"/>
    <w:rsid w:val="008248A6"/>
    <w:rsid w:val="0083656E"/>
    <w:rsid w:val="00836C8E"/>
    <w:rsid w:val="008409C0"/>
    <w:rsid w:val="008477CE"/>
    <w:rsid w:val="00854405"/>
    <w:rsid w:val="0086466B"/>
    <w:rsid w:val="008A6940"/>
    <w:rsid w:val="008B691B"/>
    <w:rsid w:val="008D32BE"/>
    <w:rsid w:val="008F3A89"/>
    <w:rsid w:val="008F58F2"/>
    <w:rsid w:val="00907AD0"/>
    <w:rsid w:val="00930683"/>
    <w:rsid w:val="0093081C"/>
    <w:rsid w:val="00937EB7"/>
    <w:rsid w:val="00944493"/>
    <w:rsid w:val="00951C56"/>
    <w:rsid w:val="009542B0"/>
    <w:rsid w:val="00962020"/>
    <w:rsid w:val="00965212"/>
    <w:rsid w:val="00965ABF"/>
    <w:rsid w:val="00993908"/>
    <w:rsid w:val="009A1030"/>
    <w:rsid w:val="009A74D1"/>
    <w:rsid w:val="009A7D92"/>
    <w:rsid w:val="009B7F2B"/>
    <w:rsid w:val="009D1B74"/>
    <w:rsid w:val="009D262C"/>
    <w:rsid w:val="009E1B81"/>
    <w:rsid w:val="009E2756"/>
    <w:rsid w:val="009F701B"/>
    <w:rsid w:val="00A140D7"/>
    <w:rsid w:val="00A2694B"/>
    <w:rsid w:val="00A309F4"/>
    <w:rsid w:val="00A336EA"/>
    <w:rsid w:val="00A33C0C"/>
    <w:rsid w:val="00A36CCD"/>
    <w:rsid w:val="00A56989"/>
    <w:rsid w:val="00A85049"/>
    <w:rsid w:val="00A97077"/>
    <w:rsid w:val="00AA5993"/>
    <w:rsid w:val="00AB2EA7"/>
    <w:rsid w:val="00AB3156"/>
    <w:rsid w:val="00AB4446"/>
    <w:rsid w:val="00AD288C"/>
    <w:rsid w:val="00AE1428"/>
    <w:rsid w:val="00AE217D"/>
    <w:rsid w:val="00AE5D13"/>
    <w:rsid w:val="00AE6490"/>
    <w:rsid w:val="00AF5733"/>
    <w:rsid w:val="00AF6A05"/>
    <w:rsid w:val="00B03A03"/>
    <w:rsid w:val="00B14F99"/>
    <w:rsid w:val="00B20D2C"/>
    <w:rsid w:val="00B24FD7"/>
    <w:rsid w:val="00B27E5D"/>
    <w:rsid w:val="00B35554"/>
    <w:rsid w:val="00B4706A"/>
    <w:rsid w:val="00B4777F"/>
    <w:rsid w:val="00B661A8"/>
    <w:rsid w:val="00B841BA"/>
    <w:rsid w:val="00B916D2"/>
    <w:rsid w:val="00BA1147"/>
    <w:rsid w:val="00BC4E37"/>
    <w:rsid w:val="00BE27B8"/>
    <w:rsid w:val="00BF19EE"/>
    <w:rsid w:val="00C07667"/>
    <w:rsid w:val="00C331DF"/>
    <w:rsid w:val="00C500EC"/>
    <w:rsid w:val="00C64228"/>
    <w:rsid w:val="00C81126"/>
    <w:rsid w:val="00CB0F66"/>
    <w:rsid w:val="00CB7EAE"/>
    <w:rsid w:val="00CC721E"/>
    <w:rsid w:val="00CD0F4B"/>
    <w:rsid w:val="00CD6D38"/>
    <w:rsid w:val="00CE1E25"/>
    <w:rsid w:val="00CF3B43"/>
    <w:rsid w:val="00CF4C50"/>
    <w:rsid w:val="00CF718E"/>
    <w:rsid w:val="00D00AAC"/>
    <w:rsid w:val="00D00F84"/>
    <w:rsid w:val="00D039C0"/>
    <w:rsid w:val="00D31DFA"/>
    <w:rsid w:val="00D32080"/>
    <w:rsid w:val="00D44389"/>
    <w:rsid w:val="00D50CD7"/>
    <w:rsid w:val="00D52258"/>
    <w:rsid w:val="00D57515"/>
    <w:rsid w:val="00D62747"/>
    <w:rsid w:val="00D632AF"/>
    <w:rsid w:val="00D67AE0"/>
    <w:rsid w:val="00D803C5"/>
    <w:rsid w:val="00D96C04"/>
    <w:rsid w:val="00DA1F31"/>
    <w:rsid w:val="00DD13E1"/>
    <w:rsid w:val="00DD34B6"/>
    <w:rsid w:val="00DD532A"/>
    <w:rsid w:val="00DE406E"/>
    <w:rsid w:val="00DF0CC9"/>
    <w:rsid w:val="00E10DD5"/>
    <w:rsid w:val="00E14257"/>
    <w:rsid w:val="00E157E2"/>
    <w:rsid w:val="00E360F1"/>
    <w:rsid w:val="00E41985"/>
    <w:rsid w:val="00E62D42"/>
    <w:rsid w:val="00E73920"/>
    <w:rsid w:val="00E84308"/>
    <w:rsid w:val="00E92A0C"/>
    <w:rsid w:val="00EA2DCA"/>
    <w:rsid w:val="00EB70F1"/>
    <w:rsid w:val="00EC2B0C"/>
    <w:rsid w:val="00EC75CC"/>
    <w:rsid w:val="00ED76F0"/>
    <w:rsid w:val="00EF044C"/>
    <w:rsid w:val="00F03A7C"/>
    <w:rsid w:val="00F25530"/>
    <w:rsid w:val="00F32BE2"/>
    <w:rsid w:val="00F33B42"/>
    <w:rsid w:val="00F33D85"/>
    <w:rsid w:val="00F43628"/>
    <w:rsid w:val="00F44093"/>
    <w:rsid w:val="00F4570F"/>
    <w:rsid w:val="00F734A2"/>
    <w:rsid w:val="00FA1B63"/>
    <w:rsid w:val="00FA1CA2"/>
    <w:rsid w:val="00FA3023"/>
    <w:rsid w:val="00FB57BC"/>
    <w:rsid w:val="00FC000D"/>
    <w:rsid w:val="00FC4384"/>
    <w:rsid w:val="00FD0A67"/>
    <w:rsid w:val="00FE0B81"/>
    <w:rsid w:val="1D3300E0"/>
    <w:rsid w:val="2213640D"/>
    <w:rsid w:val="26883CAC"/>
    <w:rsid w:val="33AF1CEA"/>
    <w:rsid w:val="49D166CE"/>
    <w:rsid w:val="6BDA74A7"/>
    <w:rsid w:val="6F403541"/>
    <w:rsid w:val="72F2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129844-AA86-430E-B6D9-7CD98237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qFormat="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ascii="仿宋_GB2312" w:eastAsia="仿宋_GB2312"/>
      <w:sz w:val="2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kern w:val="2"/>
      <w:sz w:val="18"/>
      <w:szCs w:val="18"/>
    </w:rPr>
  </w:style>
  <w:style w:type="character" w:customStyle="1" w:styleId="a5">
    <w:name w:val="页脚 字符"/>
    <w:link w:val="a4"/>
    <w:rPr>
      <w:kern w:val="2"/>
      <w:sz w:val="18"/>
      <w:szCs w:val="18"/>
    </w:rPr>
  </w:style>
  <w:style w:type="paragraph" w:customStyle="1" w:styleId="p0">
    <w:name w:val="p0"/>
    <w:basedOn w:val="a"/>
    <w:qFormat/>
    <w:pPr>
      <w:widowControl/>
    </w:pPr>
    <w:rPr>
      <w:kern w:val="0"/>
      <w:szCs w:val="21"/>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516</Words>
  <Characters>2947</Characters>
  <Application>Microsoft Office Word</Application>
  <DocSecurity>0</DocSecurity>
  <Lines>24</Lines>
  <Paragraphs>6</Paragraphs>
  <ScaleCrop>false</ScaleCrop>
  <Company>番茄花园</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督导简报</dc:title>
  <dc:creator>番茄花园</dc:creator>
  <cp:lastModifiedBy>Administrator</cp:lastModifiedBy>
  <cp:revision>6</cp:revision>
  <cp:lastPrinted>2022-08-29T06:30:00Z</cp:lastPrinted>
  <dcterms:created xsi:type="dcterms:W3CDTF">2023-05-22T00:50:00Z</dcterms:created>
  <dcterms:modified xsi:type="dcterms:W3CDTF">2023-05-22T02:46:00Z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C7A2D7D5B71E4946850D17CB55C5866D</vt:lpwstr>
  </property>
</Properties>
</file>